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26-120</w:t>
      </w:r>
    </w:p>
    <w:p>
      <w:pPr>
        <w:spacing w:before="0" w:after="0" w:line="480"/>
        <w:ind w:left="120"/>
        <w:jc w:val="left"/>
      </w:pPr>
    </w:p>
    <w:p>
      <w:pPr>
        <w:spacing w:before="0" w:after="0" w:line="480"/>
        <w:ind w:left="120"/>
        <w:jc w:val="center"/>
      </w:pPr>
      <w:r>
        <w:rPr>
          <w:rFonts w:ascii="Times New Roman" w:hAnsi="Times New Roman"/>
          <w:b/>
          <w:i w:val="false"/>
          <w:color w:val="000000"/>
          <w:sz w:val="28"/>
        </w:rPr>
        <w:t>COMMUNICATIONS NETWORK, IOWA[751]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751—Chapter 17</w:t>
      </w:r>
    </w:p>
    <w:p>
      <w:pPr>
        <w:spacing w:before="0" w:after="0" w:line="480"/>
        <w:ind w:left="120"/>
        <w:jc w:val="center"/>
      </w:pPr>
      <w:r>
        <w:rPr>
          <w:rFonts w:ascii="Times New Roman" w:hAnsi="Times New Roman"/>
          <w:b w:val="false"/>
          <w:i w:val="false"/>
          <w:color w:val="000000"/>
          <w:sz w:val="24"/>
        </w:rPr>
        <w:t>“Miscellaneous”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8D</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2370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ICN Director’s Conference Room</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 xml:space="preserve">Des Moines, Iowa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Communications Network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Larsen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515.725.4713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lori.larsen@icn.state.ia.us</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agency proposes to rescind Chapter 17 and adopt a new chapter in lieu thereof. The chapter describes the miscellaneous guidelines for specific administrative, operational, and financial functions of the statewide fiber optic network. This proposed rulemaking eliminates language that is overly restrictive or obsolete and shortens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individuals within the State benefit from a well-run and organized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positive; the rulemaking simplifies the regulatory environment by removing obsolete language and providing clearer guidance for specific administrative, operational, and financial functions of the agency.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or the agency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agency seeks to implement these rules in a minimally intrusive and minimally prescriptive manner while still fulfilling the responsibilities of maintaining a well-run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considered because the proposed rulemaking is necessary to comply with the Executive Order 10 mandate to streamline and modernize existing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Not applicable.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xml:space="preserve">    Not applicable.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w:t>
      </w:r>
    </w:p>
    <w:p>
      <w:pPr>
        <w:spacing w:before="0" w:after="0" w:line="480"/>
        <w:ind w:left="120"/>
        <w:jc w:val="center"/>
      </w:pPr>
      <w:r>
        <w:rPr>
          <w:rFonts w:ascii="Times New Roman" w:hAnsi="Times New Roman"/>
          <w:b w:val="false"/>
          <w:i w:val="false"/>
          <w:color w:val="000000"/>
          <w:sz w:val="21"/>
        </w:rPr>
        <w:t>MISCELLANEOUS</w:t>
      </w:r>
    </w:p>
    <w:p>
      <w:pPr>
        <w:spacing w:before="210" w:after="0" w:line="480"/>
        <w:ind w:left="120"/>
        <w:jc w:val="both"/>
      </w:pPr>
      <w:r>
        <w:rPr>
          <w:rFonts w:ascii="Times New Roman" w:hAnsi="Times New Roman"/>
          <w:b/>
          <w:i w:val="false"/>
          <w:color w:val="000000"/>
          <w:sz w:val="24"/>
        </w:rPr>
        <w:t>751—17.1</w:t>
      </w:r>
      <w:r>
        <w:rPr>
          <w:rFonts w:ascii="Times New Roman" w:hAnsi="Times New Roman"/>
          <w:b/>
          <w:i w:val="false"/>
          <w:color w:val="000000"/>
          <w:sz w:val="24"/>
        </w:rPr>
        <w:t xml:space="preserve">(8D) </w:t>
      </w:r>
      <w:r>
        <w:rPr>
          <w:rFonts w:ascii="Times New Roman" w:hAnsi="Times New Roman"/>
          <w:b/>
          <w:i w:val="false"/>
          <w:color w:val="000000"/>
          <w:sz w:val="24"/>
        </w:rPr>
        <w:t xml:space="preserve">Purpose. </w:t>
      </w:r>
      <w:r>
        <w:rPr>
          <w:rFonts w:ascii="Times New Roman" w:hAnsi="Times New Roman"/>
          <w:b w:val="false"/>
          <w:i w:val="false"/>
          <w:color w:val="000000"/>
          <w:sz w:val="24"/>
        </w:rPr>
        <w:t>This chapter outlines specific administrative, operational, and financial functions of the agency, including asset disposal, network topology definitions, shared use agreements, and billing services.</w:t>
      </w:r>
    </w:p>
    <w:p>
      <w:pPr>
        <w:spacing w:before="210" w:after="0" w:line="480"/>
        <w:ind w:left="120"/>
        <w:jc w:val="both"/>
      </w:pPr>
      <w:r>
        <w:rPr>
          <w:rFonts w:ascii="Times New Roman" w:hAnsi="Times New Roman"/>
          <w:b/>
          <w:i w:val="false"/>
          <w:color w:val="000000"/>
          <w:sz w:val="24"/>
        </w:rPr>
        <w:t>751—17.2</w:t>
      </w:r>
      <w:r>
        <w:rPr>
          <w:rFonts w:ascii="Times New Roman" w:hAnsi="Times New Roman"/>
          <w:b/>
          <w:i w:val="false"/>
          <w:color w:val="000000"/>
          <w:sz w:val="24"/>
        </w:rPr>
        <w:t xml:space="preserve">(8D) </w:t>
      </w:r>
      <w:r>
        <w:rPr>
          <w:rFonts w:ascii="Times New Roman" w:hAnsi="Times New Roman"/>
          <w:b/>
          <w:i w:val="false"/>
          <w:color w:val="000000"/>
          <w:sz w:val="24"/>
        </w:rPr>
        <w:t xml:space="preserve">Network parts and right-of-way. </w:t>
      </w:r>
      <w:r>
        <w:rPr>
          <w:rFonts w:ascii="Times New Roman" w:hAnsi="Times New Roman"/>
          <w:b w:val="false"/>
          <w:i w:val="false"/>
          <w:color w:val="000000"/>
          <w:sz w:val="24"/>
        </w:rPr>
        <w:t xml:space="preserve">The agency shall manage and operate the state communications network, which consists of Part I, Part II, and Part III fiber optic infrastructure as defined in Iowa Code section </w:t>
      </w:r>
      <w:hyperlink r:id="rId6">
        <w:r>
          <w:rPr>
            <w:rStyle w:val="Hyperlink"/>
            <w:rFonts w:ascii="Times New Roman" w:hAnsi="Times New Roman"/>
            <w:b w:val="false"/>
            <w:i w:val="false"/>
            <w:color w:val="000000"/>
            <w:sz w:val="24"/>
          </w:rPr>
          <w:t>8D.13</w:t>
        </w:r>
      </w:hyperlink>
      <w:r>
        <w:rPr>
          <w:rFonts w:ascii="Times New Roman" w:hAnsi="Times New Roman"/>
          <w:b w:val="false"/>
          <w:i w:val="false"/>
          <w:color w:val="000000"/>
          <w:sz w:val="24"/>
        </w:rPr>
        <w:t>. To facilitate the maintenance and expansion of these network parts, the executive director may negotiate and enter into necessary space and right-of-way agreements.</w:t>
      </w:r>
    </w:p>
    <w:p>
      <w:pPr>
        <w:spacing w:before="0" w:after="0" w:line="480"/>
        <w:ind w:left="120"/>
        <w:jc w:val="both"/>
      </w:pPr>
      <w:r>
        <w:rPr>
          <w:rFonts w:ascii="Times New Roman" w:hAnsi="Times New Roman"/>
          <w:b/>
          <w:i w:val="false"/>
          <w:color w:val="000000"/>
          <w:sz w:val="24"/>
        </w:rPr>
        <w:t>751—17.3</w:t>
      </w:r>
      <w:r>
        <w:rPr>
          <w:rFonts w:ascii="Times New Roman" w:hAnsi="Times New Roman"/>
          <w:b/>
          <w:i w:val="false"/>
          <w:color w:val="000000"/>
          <w:sz w:val="24"/>
        </w:rPr>
        <w:t xml:space="preserve">(8D) </w:t>
      </w:r>
      <w:r>
        <w:rPr>
          <w:rFonts w:ascii="Times New Roman" w:hAnsi="Times New Roman"/>
          <w:b/>
          <w:i w:val="false"/>
          <w:color w:val="000000"/>
          <w:sz w:val="24"/>
        </w:rPr>
        <w:t xml:space="preserve">Transfer and disposal of assets.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17.3(1)</w:t>
      </w:r>
      <w:r>
        <w:rPr>
          <w:rFonts w:ascii="Times New Roman" w:hAnsi="Times New Roman"/>
          <w:b w:val="false"/>
          <w:i w:val="false"/>
          <w:color w:val="000000"/>
          <w:sz w:val="24"/>
        </w:rPr>
        <w:t> </w:t>
      </w:r>
      <w:r>
        <w:rPr>
          <w:rFonts w:ascii="Times New Roman" w:hAnsi="Times New Roman"/>
          <w:b w:val="false"/>
          <w:i w:val="false"/>
          <w:color w:val="000000"/>
          <w:sz w:val="24"/>
        </w:rPr>
        <w:t>The executive director may dispose of property or equipment under the agency’s ownership or control when the property or equipment becomes unnecessary, obsolete, or unfit for further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17.3(2)</w:t>
      </w:r>
      <w:r>
        <w:rPr>
          <w:rFonts w:ascii="Times New Roman" w:hAnsi="Times New Roman"/>
          <w:b w:val="false"/>
          <w:i w:val="false"/>
          <w:color w:val="000000"/>
          <w:sz w:val="24"/>
        </w:rPr>
        <w:t> </w:t>
      </w:r>
      <w:r>
        <w:rPr>
          <w:rFonts w:ascii="Times New Roman" w:hAnsi="Times New Roman"/>
          <w:b w:val="false"/>
          <w:i w:val="false"/>
          <w:color w:val="000000"/>
          <w:sz w:val="24"/>
        </w:rPr>
        <w:t>The agency may dispose of unnecessary or unfit property by sale, auction, broker, trade, consignment, or any other manner that maximizes the value to the state and fairly disposes of the property. Proceeds from the disposition of the property shall be retained by the agency.</w:t>
      </w:r>
    </w:p>
    <w:p>
      <w:pPr>
        <w:spacing w:before="0" w:after="0" w:line="480"/>
        <w:ind w:left="120"/>
        <w:jc w:val="both"/>
      </w:pPr>
      <w:r>
        <w:rPr>
          <w:rFonts w:ascii="Times New Roman" w:hAnsi="Times New Roman"/>
          <w:b/>
          <w:i w:val="false"/>
          <w:color w:val="000000"/>
          <w:sz w:val="24"/>
        </w:rPr>
        <w:t>751—17.4</w:t>
      </w:r>
      <w:r>
        <w:rPr>
          <w:rFonts w:ascii="Times New Roman" w:hAnsi="Times New Roman"/>
          <w:b/>
          <w:i w:val="false"/>
          <w:color w:val="000000"/>
          <w:sz w:val="24"/>
        </w:rPr>
        <w:t xml:space="preserve">(8D) </w:t>
      </w:r>
      <w:r>
        <w:rPr>
          <w:rFonts w:ascii="Times New Roman" w:hAnsi="Times New Roman"/>
          <w:b/>
          <w:i w:val="false"/>
          <w:color w:val="000000"/>
          <w:sz w:val="24"/>
        </w:rPr>
        <w:t xml:space="preserve">Partnerships and shared use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17.4(1)</w:t>
      </w:r>
      <w:r>
        <w:rPr>
          <w:rFonts w:ascii="Times New Roman" w:hAnsi="Times New Roman"/>
          <w:b w:val="false"/>
          <w:i w:val="false"/>
          <w:color w:val="000000"/>
          <w:sz w:val="24"/>
        </w:rPr>
        <w:t> </w:t>
      </w:r>
      <w:r>
        <w:rPr>
          <w:rFonts w:ascii="Times New Roman" w:hAnsi="Times New Roman"/>
          <w:b w:val="false"/>
          <w:i w:val="false"/>
          <w:color w:val="000000"/>
          <w:sz w:val="24"/>
        </w:rPr>
        <w:t>The executive director may enter into shared use agreements or partnerships with public or private entities, including cities, municipalities, and other nonauthorized users, to maximize the operational efficiency of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17.4(2)</w:t>
      </w:r>
      <w:r>
        <w:rPr>
          <w:rFonts w:ascii="Times New Roman" w:hAnsi="Times New Roman"/>
          <w:b w:val="false"/>
          <w:i w:val="false"/>
          <w:color w:val="000000"/>
          <w:sz w:val="24"/>
        </w:rPr>
        <w:t> </w:t>
      </w:r>
      <w:r>
        <w:rPr>
          <w:rFonts w:ascii="Times New Roman" w:hAnsi="Times New Roman"/>
          <w:b w:val="false"/>
          <w:i w:val="false"/>
          <w:color w:val="000000"/>
          <w:sz w:val="24"/>
        </w:rPr>
        <w:t>Such partnerships shall be established to facilitate shared data connectivity, emergency management interoperability, or public safety services, provided such agreements do not violate statutory prohibitions against the provision of retail commercial services.</w:t>
      </w:r>
    </w:p>
    <w:p>
      <w:pPr>
        <w:spacing w:before="0" w:after="0" w:line="480"/>
        <w:ind w:left="120"/>
        <w:jc w:val="both"/>
      </w:pPr>
      <w:r>
        <w:rPr>
          <w:rFonts w:ascii="Times New Roman" w:hAnsi="Times New Roman"/>
          <w:b/>
          <w:i w:val="false"/>
          <w:color w:val="000000"/>
          <w:sz w:val="24"/>
        </w:rPr>
        <w:t>751—17.5</w:t>
      </w:r>
      <w:r>
        <w:rPr>
          <w:rFonts w:ascii="Times New Roman" w:hAnsi="Times New Roman"/>
          <w:b/>
          <w:i w:val="false"/>
          <w:color w:val="000000"/>
          <w:sz w:val="24"/>
        </w:rPr>
        <w:t xml:space="preserve">(8D) </w:t>
      </w:r>
      <w:r>
        <w:rPr>
          <w:rFonts w:ascii="Times New Roman" w:hAnsi="Times New Roman"/>
          <w:b/>
          <w:i w:val="false"/>
          <w:color w:val="000000"/>
          <w:sz w:val="24"/>
        </w:rPr>
        <w:t xml:space="preserve">Billing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w:t>
      </w:r>
      <w:r>
        <w:rPr>
          <w:rFonts w:ascii="Times New Roman" w:hAnsi="Times New Roman"/>
          <w:b w:val="false"/>
          <w:i w:val="false"/>
          <w:color w:val="000000"/>
          <w:sz w:val="24"/>
        </w:rPr>
        <w:t> </w:t>
      </w:r>
      <w:r>
        <w:rPr>
          <w:rFonts w:ascii="Times New Roman" w:hAnsi="Times New Roman"/>
          <w:b w:val="false"/>
          <w:i/>
          <w:color w:val="000000"/>
          <w:sz w:val="24"/>
        </w:rPr>
        <w:t xml:space="preserve">Billing on behalf of an authorized user. </w:t>
      </w:r>
      <w:r>
        <w:rPr>
          <w:rFonts w:ascii="Times New Roman" w:hAnsi="Times New Roman"/>
          <w:b w:val="false"/>
          <w:i w:val="false"/>
          <w:color w:val="000000"/>
          <w:sz w:val="24"/>
        </w:rPr>
        <w:t>The agency may invoice and collect fees on behalf of an authorized user for services provided across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w:t>
      </w:r>
      <w:r>
        <w:rPr>
          <w:rFonts w:ascii="Times New Roman" w:hAnsi="Times New Roman"/>
          <w:b w:val="false"/>
          <w:i w:val="false"/>
          <w:color w:val="000000"/>
          <w:sz w:val="24"/>
        </w:rPr>
        <w:t> </w:t>
      </w:r>
      <w:r>
        <w:rPr>
          <w:rFonts w:ascii="Times New Roman" w:hAnsi="Times New Roman"/>
          <w:b w:val="false"/>
          <w:i/>
          <w:color w:val="000000"/>
          <w:sz w:val="24"/>
        </w:rPr>
        <w:t xml:space="preserve">Billing for shared use and space agreements. </w:t>
      </w:r>
      <w:r>
        <w:rPr>
          <w:rFonts w:ascii="Times New Roman" w:hAnsi="Times New Roman"/>
          <w:b w:val="false"/>
          <w:i w:val="false"/>
          <w:color w:val="000000"/>
          <w:sz w:val="24"/>
        </w:rPr>
        <w:t>The agency shall possess the authority to generate invoices, collect payments, and manage financial accounts for nonauthorized users operating under a valid shared use agreement, right-of-way agreement, or space collocation agreement.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7">
        <w:r>
          <w:rPr>
            <w:rStyle w:val="Hyperlink"/>
            <w:rFonts w:ascii="Times New Roman" w:hAnsi="Times New Roman"/>
            <w:b w:val="false"/>
            <w:i w:val="false"/>
            <w:color w:val="000000"/>
            <w:sz w:val="24"/>
          </w:rPr>
          <w:t>23A.2</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8D.11</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cn.state.ia.us" Type="http://schemas.openxmlformats.org/officeDocument/2006/relationships/hyperlink" Id="rId4"/>
    <Relationship TargetMode="External" Target="mailto:lori.larsen@iowa.gov" Type="http://schemas.openxmlformats.org/officeDocument/2006/relationships/hyperlink" Id="rId5"/>
    <Relationship TargetMode="External" Target="https://www.legis.iowa.gov/docs/ico/chapter/8D.13.pdf" Type="http://schemas.openxmlformats.org/officeDocument/2006/relationships/hyperlink" Id="rId6"/>
    <Relationship TargetMode="External" Target="https://www.legis.iowa.gov/docs/ico/chapter/23A.2.pdf" Type="http://schemas.openxmlformats.org/officeDocument/2006/relationships/hyperlink" Id="rId7"/>
    <Relationship TargetMode="External" Target="https://www.legis.iowa.gov/docs/ico/chapter/8D.3.pdf" Type="http://schemas.openxmlformats.org/officeDocument/2006/relationships/hyperlink" Id="rId8"/>
    <Relationship TargetMode="External" Target="https://www.legis.iowa.gov/docs/ico/chapter/8D.1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